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Calibri" w:hAnsi="Calibri" w:eastAsia="Calibri"/>
          <w:sz w:val="52"/>
        </w:rPr>
        <w:t>SETTEROS Client Services Agreement</w:t>
      </w:r>
    </w:p>
    <w:p>
      <w:pPr>
        <w:jc w:val="center"/>
      </w:pPr>
      <w:r>
        <w:rPr>
          <w:rFonts w:ascii="Calibri" w:hAnsi="Calibri" w:eastAsia="Calibri"/>
          <w:color w:val="5A5A5A"/>
          <w:sz w:val="22"/>
        </w:rPr>
        <w:t>Master client agreement for SETTEROS, CareFlow Setter, dashboard services, AI appointment setting, voice add-ons, and campaign workflows.</w:t>
      </w:r>
    </w:p>
    <w:p>
      <w:pPr>
        <w:spacing w:before="200" w:after="240"/>
      </w:pPr>
      <w:r>
        <w:rPr>
          <w:rFonts w:ascii="Calibri" w:hAnsi="Calibri" w:eastAsia="Calibri"/>
          <w:b/>
          <w:color w:val="7A5A00"/>
        </w:rPr>
        <w:t xml:space="preserve">Legal review note: </w:t>
      </w:r>
      <w:r>
        <w:rPr>
          <w:rFonts w:ascii="Calibri" w:hAnsi="Calibri" w:eastAsia="Calibri"/>
        </w:rPr>
        <w:t>This template is provided for business use and should be reviewed by legal counsel before signature.</w:t>
      </w:r>
    </w:p>
    <w:p>
      <w:r>
        <w:rPr>
          <w:rFonts w:ascii="Calibri" w:hAnsi="Calibri" w:eastAsia="Calibri"/>
          <w:b/>
        </w:rPr>
        <w:t>Last updated:</w:t>
      </w:r>
      <w:r>
        <w:rPr>
          <w:rFonts w:ascii="Calibri" w:hAnsi="Calibri" w:eastAsia="Calibri"/>
        </w:rPr>
        <w:t xml:space="preserve"> May 15, 2026</w:t>
      </w:r>
    </w:p>
    <w:p>
      <w:r>
        <w:rPr>
          <w:rFonts w:ascii="Calibri" w:hAnsi="Calibri" w:eastAsia="Calibri"/>
          <w:b/>
        </w:rPr>
        <w:t>Provider:</w:t>
      </w:r>
      <w:r>
        <w:rPr>
          <w:rFonts w:ascii="Calibri" w:hAnsi="Calibri" w:eastAsia="Calibri"/>
        </w:rPr>
        <w:t xml:space="preserve"> FORMSHQ INC, operating SETTEROS and CareFlow Setter</w:t>
      </w:r>
    </w:p>
    <w:p>
      <w:r>
        <w:rPr>
          <w:rFonts w:ascii="Calibri" w:hAnsi="Calibri" w:eastAsia="Calibri"/>
          <w:b/>
        </w:rPr>
        <w:t>Provider address:</w:t>
      </w:r>
      <w:r>
        <w:rPr>
          <w:rFonts w:ascii="Calibri" w:hAnsi="Calibri" w:eastAsia="Calibri"/>
        </w:rPr>
        <w:t xml:space="preserve"> 3715 Northside Parkway Northwest, Building 100, Suite 500, Atlanta, Georgia 30327</w:t>
      </w:r>
    </w:p>
    <w:p>
      <w:r>
        <w:rPr>
          <w:rFonts w:ascii="Calibri" w:hAnsi="Calibri" w:eastAsia="Calibri"/>
          <w:b/>
        </w:rPr>
        <w:t>Provider email:</w:t>
      </w:r>
      <w:r>
        <w:rPr>
          <w:rFonts w:ascii="Calibri" w:hAnsi="Calibri" w:eastAsia="Calibri"/>
        </w:rPr>
        <w:t xml:space="preserve"> hello@setteros.online</w:t>
      </w:r>
    </w:p>
    <w:p>
      <w:pPr>
        <w:pStyle w:val="Heading1"/>
      </w:pPr>
      <w:r>
        <w:rPr>
          <w:rFonts w:ascii="Calibri" w:hAnsi="Calibri" w:eastAsia="Calibri"/>
        </w:rPr>
        <w:t>1. Parties</w:t>
      </w:r>
    </w:p>
    <w:p>
      <w:r>
        <w:rPr>
          <w:rFonts w:ascii="Calibri" w:hAnsi="Calibri" w:eastAsia="Calibri"/>
        </w:rPr>
        <w:t>This Client Services Agreement is entered into by and between:</w:t>
      </w:r>
    </w:p>
    <w:p>
      <w:r>
        <w:rPr>
          <w:rFonts w:ascii="Calibri" w:hAnsi="Calibri" w:eastAsia="Calibri"/>
          <w:b/>
        </w:rPr>
        <w:t>Provider:</w:t>
      </w:r>
      <w:r>
        <w:rPr>
          <w:rFonts w:ascii="Calibri" w:hAnsi="Calibri" w:eastAsia="Calibri"/>
        </w:rPr>
        <w:t xml:space="preserve"> FORMSHQ INC, operating SETTEROS and related brands, including CareFlow Setter.</w:t>
      </w:r>
    </w:p>
    <w:p>
      <w:r>
        <w:rPr>
          <w:rFonts w:ascii="Calibri" w:hAnsi="Calibri" w:eastAsia="Calibri"/>
          <w:b/>
        </w:rPr>
        <w:t>Client:</w:t>
      </w:r>
      <w:r>
        <w:rPr>
          <w:rFonts w:ascii="Calibri" w:hAnsi="Calibri" w:eastAsia="Calibri"/>
        </w:rPr>
        <w:t xml:space="preserve"> ________________________________</w:t>
      </w:r>
    </w:p>
    <w:p>
      <w:r>
        <w:rPr>
          <w:rFonts w:ascii="Calibri" w:hAnsi="Calibri" w:eastAsia="Calibri"/>
          <w:b/>
        </w:rPr>
        <w:t>Client business name:</w:t>
      </w:r>
      <w:r>
        <w:rPr>
          <w:rFonts w:ascii="Calibri" w:hAnsi="Calibri" w:eastAsia="Calibri"/>
        </w:rPr>
        <w:t xml:space="preserve"> ________________________________</w:t>
      </w:r>
    </w:p>
    <w:p>
      <w:r>
        <w:rPr>
          <w:rFonts w:ascii="Calibri" w:hAnsi="Calibri" w:eastAsia="Calibri"/>
          <w:b/>
        </w:rPr>
        <w:t>Effective date:</w:t>
      </w:r>
      <w:r>
        <w:rPr>
          <w:rFonts w:ascii="Calibri" w:hAnsi="Calibri" w:eastAsia="Calibri"/>
        </w:rPr>
        <w:t xml:space="preserve"> ________________________________</w:t>
      </w:r>
    </w:p>
    <w:p>
      <w:pPr>
        <w:pStyle w:val="Heading1"/>
      </w:pPr>
      <w:r>
        <w:rPr>
          <w:rFonts w:ascii="Calibri" w:hAnsi="Calibri" w:eastAsia="Calibri"/>
        </w:rPr>
        <w:t>2. Services</w:t>
      </w:r>
    </w:p>
    <w:p>
      <w:r>
        <w:rPr>
          <w:rFonts w:ascii="Calibri" w:hAnsi="Calibri" w:eastAsia="Calibri"/>
        </w:rPr>
        <w:t>Provider may deliver one or more of the following services based on the Client's selected plan, order form, checkout purchase, invoice, or written scope:</w:t>
      </w:r>
    </w:p>
    <w:p>
      <w:pPr>
        <w:pStyle w:val="ListBullet"/>
      </w:pPr>
      <w:r>
        <w:rPr>
          <w:rFonts w:ascii="Calibri" w:hAnsi="Calibri" w:eastAsia="Calibri"/>
        </w:rPr>
        <w:t>SETTEROS AI appointment-setting platform access</w:t>
      </w:r>
    </w:p>
    <w:p>
      <w:pPr>
        <w:pStyle w:val="ListBullet"/>
      </w:pPr>
      <w:r>
        <w:rPr>
          <w:rFonts w:ascii="Calibri" w:hAnsi="Calibri" w:eastAsia="Calibri"/>
        </w:rPr>
        <w:t>Client Portal or Agency Dashboard setup</w:t>
      </w:r>
    </w:p>
    <w:p>
      <w:pPr>
        <w:pStyle w:val="ListBullet"/>
      </w:pPr>
      <w:r>
        <w:rPr>
          <w:rFonts w:ascii="Calibri" w:hAnsi="Calibri" w:eastAsia="Calibri"/>
        </w:rPr>
        <w:t>AI agent configuration</w:t>
      </w:r>
    </w:p>
    <w:p>
      <w:pPr>
        <w:pStyle w:val="ListBullet"/>
      </w:pPr>
      <w:r>
        <w:rPr>
          <w:rFonts w:ascii="Calibri" w:hAnsi="Calibri" w:eastAsia="Calibri"/>
        </w:rPr>
        <w:t>CareFlow Setter health and wellness appointment-setting workflows</w:t>
      </w:r>
    </w:p>
    <w:p>
      <w:pPr>
        <w:pStyle w:val="ListBullet"/>
      </w:pPr>
      <w:r>
        <w:rPr>
          <w:rFonts w:ascii="Calibri" w:hAnsi="Calibri" w:eastAsia="Calibri"/>
        </w:rPr>
        <w:t>Template library access or template installation</w:t>
      </w:r>
    </w:p>
    <w:p>
      <w:pPr>
        <w:pStyle w:val="ListBullet"/>
      </w:pPr>
      <w:r>
        <w:rPr>
          <w:rFonts w:ascii="Calibri" w:hAnsi="Calibri" w:eastAsia="Calibri"/>
        </w:rPr>
        <w:t>CRM-connected lead routing and follow-up workflows</w:t>
      </w:r>
    </w:p>
    <w:p>
      <w:pPr>
        <w:pStyle w:val="ListBullet"/>
      </w:pPr>
      <w:r>
        <w:rPr>
          <w:rFonts w:ascii="Calibri" w:hAnsi="Calibri" w:eastAsia="Calibri"/>
        </w:rPr>
        <w:t>AI voice receptionist or phone automation add-ons</w:t>
      </w:r>
    </w:p>
    <w:p>
      <w:pPr>
        <w:pStyle w:val="ListBullet"/>
      </w:pPr>
      <w:r>
        <w:rPr>
          <w:rFonts w:ascii="Calibri" w:hAnsi="Calibri" w:eastAsia="Calibri"/>
        </w:rPr>
        <w:t>Dedicated phone number setup</w:t>
      </w:r>
    </w:p>
    <w:p>
      <w:pPr>
        <w:pStyle w:val="ListBullet"/>
      </w:pPr>
      <w:r>
        <w:rPr>
          <w:rFonts w:ascii="Calibri" w:hAnsi="Calibri" w:eastAsia="Calibri"/>
        </w:rPr>
        <w:t>Social Growth Engine content, outreach, and campaign planning add-ons</w:t>
      </w:r>
    </w:p>
    <w:p>
      <w:pPr>
        <w:pStyle w:val="ListBullet"/>
      </w:pPr>
      <w:r>
        <w:rPr>
          <w:rFonts w:ascii="Calibri" w:hAnsi="Calibri" w:eastAsia="Calibri"/>
        </w:rPr>
        <w:t>Missed-call recovery, no-show recovery, appointment reminder, or lead reactivation campaigns</w:t>
      </w:r>
    </w:p>
    <w:p>
      <w:pPr>
        <w:pStyle w:val="ListBullet"/>
      </w:pPr>
      <w:r>
        <w:rPr>
          <w:rFonts w:ascii="Calibri" w:hAnsi="Calibri" w:eastAsia="Calibri"/>
        </w:rPr>
        <w:t>Post-purchase onboarding intake, setup review, and training portal access</w:t>
      </w:r>
    </w:p>
    <w:p>
      <w:pPr>
        <w:pStyle w:val="ListBullet"/>
      </w:pPr>
      <w:r>
        <w:rPr>
          <w:rFonts w:ascii="Calibri" w:hAnsi="Calibri" w:eastAsia="Calibri"/>
        </w:rPr>
        <w:t>Training manuals, dashboards, SOP checklists, templates, scripts, and related onboarding resources</w:t>
      </w:r>
    </w:p>
    <w:p>
      <w:pPr>
        <w:pStyle w:val="ListBullet"/>
      </w:pPr>
      <w:r>
        <w:rPr>
          <w:rFonts w:ascii="Calibri" w:hAnsi="Calibri" w:eastAsia="Calibri"/>
        </w:rPr>
        <w:t>Stripe checkout, dashboard, reporting, onboarding, or support-related services</w:t>
      </w:r>
    </w:p>
    <w:p>
      <w:r>
        <w:rPr>
          <w:rFonts w:ascii="Calibri" w:hAnsi="Calibri" w:eastAsia="Calibri"/>
        </w:rPr>
        <w:t>The exact services, pricing, included accounts, add-ons, usage limits, and launch scope will be determined by the Client's accepted checkout, written proposal, invoice, statement of work, or order confirmation.</w:t>
      </w:r>
    </w:p>
    <w:p>
      <w:r>
        <w:rPr>
          <w:rFonts w:ascii="Calibri" w:hAnsi="Calibri" w:eastAsia="Calibri"/>
        </w:rPr>
        <w:t>Provider may deliver onboarding materials and training resources through a web-based training portal, direct document links, email, customer workspace upload, or another reasonable delivery method.</w:t>
      </w:r>
    </w:p>
    <w:p>
      <w:pPr>
        <w:pStyle w:val="Heading1"/>
      </w:pPr>
      <w:r>
        <w:rPr>
          <w:rFonts w:ascii="Calibri" w:hAnsi="Calibri" w:eastAsia="Calibri"/>
        </w:rPr>
        <w:t>3. Plans, Add-Ons, and Fees</w:t>
      </w:r>
    </w:p>
    <w:p>
      <w:r>
        <w:rPr>
          <w:rFonts w:ascii="Calibri" w:hAnsi="Calibri" w:eastAsia="Calibri"/>
        </w:rPr>
        <w:t>Client agrees to pay all setup fees, monthly subscription fees, add-on fees, usage-based fees, taxes, carrier fees, call-minute fees, and other charges shown at checkout, in an invoice, or in an approved order form.</w:t>
      </w:r>
    </w:p>
    <w:p>
      <w:r>
        <w:rPr>
          <w:rFonts w:ascii="Calibri" w:hAnsi="Calibri" w:eastAsia="Calibri"/>
        </w:rPr>
        <w:t>Current example pricing may include:</w:t>
      </w:r>
    </w:p>
    <w:tbl>
      <w:tblPr>
        <w:tblStyle w:val="TableGrid"/>
        <w:tblW w:type="dxa" w:w="9360"/>
        <w:jc w:val="left"/>
        <w:tblLook w:firstColumn="1" w:firstRow="1" w:lastColumn="0" w:lastRow="0" w:noHBand="0" w:noVBand="1" w:val="04A0"/>
        <w:tblInd w:w="120" w:type="dxa"/>
        <w:tblCellMar>
          <w:top w:w="80" w:type="dxa"/>
          <w:start w:w="120" w:type="dxa"/>
          <w:bottom w:w="80" w:type="dxa"/>
          <w:end w:w="120" w:type="dxa"/>
        </w:tblCellMar>
      </w:tblPr>
      <w:tblGrid>
        <w:gridCol w:w="3120"/>
        <w:gridCol w:w="3120"/>
        <w:gridCol w:w="3120"/>
      </w:tblGrid>
      <w:tr>
        <w:tc>
          <w:tcPr>
            <w:tcW w:type="dxa" w:w="4248"/>
            <w:vAlign w:val="center"/>
            <w:shd w:fill="F2F4F7"/>
          </w:tcPr>
          <w:p>
            <w:r>
              <w:rPr>
                <w:b/>
                <w:color w:val="181512"/>
                <w:sz w:val="20"/>
              </w:rPr>
              <w:t>Service</w:t>
            </w:r>
          </w:p>
        </w:tc>
        <w:tc>
          <w:tcPr>
            <w:tcW w:type="dxa" w:w="2232"/>
            <w:vAlign w:val="center"/>
            <w:shd w:fill="F2F4F7"/>
          </w:tcPr>
          <w:p>
            <w:r>
              <w:rPr>
                <w:b/>
                <w:color w:val="181512"/>
                <w:sz w:val="20"/>
              </w:rPr>
              <w:t>Setup Fee</w:t>
            </w:r>
          </w:p>
        </w:tc>
        <w:tc>
          <w:tcPr>
            <w:tcW w:type="dxa" w:w="2232"/>
            <w:vAlign w:val="center"/>
            <w:shd w:fill="F2F4F7"/>
          </w:tcPr>
          <w:p>
            <w:r>
              <w:rPr>
                <w:b/>
                <w:color w:val="181512"/>
                <w:sz w:val="20"/>
              </w:rPr>
              <w:t>Monthly Fee</w:t>
            </w:r>
          </w:p>
        </w:tc>
      </w:tr>
      <w:tr>
        <w:tc>
          <w:tcPr>
            <w:tcW w:type="dxa" w:w="4248"/>
            <w:vAlign w:val="center"/>
          </w:tcPr>
          <w:p>
            <w:r>
              <w:rPr>
                <w:sz w:val="19"/>
              </w:rPr>
              <w:t>SETTEROS Starter</w:t>
            </w:r>
          </w:p>
        </w:tc>
        <w:tc>
          <w:tcPr>
            <w:tcW w:type="dxa" w:w="2232"/>
            <w:vAlign w:val="center"/>
          </w:tcPr>
          <w:p>
            <w:r>
              <w:rPr>
                <w:sz w:val="19"/>
              </w:rPr>
              <w:t>As shown at checkout</w:t>
            </w:r>
          </w:p>
        </w:tc>
        <w:tc>
          <w:tcPr>
            <w:tcW w:type="dxa" w:w="2232"/>
            <w:vAlign w:val="center"/>
          </w:tcPr>
          <w:p>
            <w:r>
              <w:rPr>
                <w:sz w:val="19"/>
              </w:rPr>
              <w:t>$79/mo or annual equivalent</w:t>
            </w:r>
          </w:p>
        </w:tc>
      </w:tr>
      <w:tr>
        <w:tc>
          <w:tcPr>
            <w:tcW w:type="dxa" w:w="4248"/>
            <w:vAlign w:val="center"/>
          </w:tcPr>
          <w:p>
            <w:r>
              <w:rPr>
                <w:sz w:val="19"/>
              </w:rPr>
              <w:t>SETTEROS Growth</w:t>
            </w:r>
          </w:p>
        </w:tc>
        <w:tc>
          <w:tcPr>
            <w:tcW w:type="dxa" w:w="2232"/>
            <w:vAlign w:val="center"/>
          </w:tcPr>
          <w:p>
            <w:r>
              <w:rPr>
                <w:sz w:val="19"/>
              </w:rPr>
              <w:t>As shown at checkout</w:t>
            </w:r>
          </w:p>
        </w:tc>
        <w:tc>
          <w:tcPr>
            <w:tcW w:type="dxa" w:w="2232"/>
            <w:vAlign w:val="center"/>
          </w:tcPr>
          <w:p>
            <w:r>
              <w:rPr>
                <w:sz w:val="19"/>
              </w:rPr>
              <w:t>$297/mo or annual equivalent</w:t>
            </w:r>
          </w:p>
        </w:tc>
      </w:tr>
      <w:tr>
        <w:tc>
          <w:tcPr>
            <w:tcW w:type="dxa" w:w="4248"/>
            <w:vAlign w:val="center"/>
          </w:tcPr>
          <w:p>
            <w:r>
              <w:rPr>
                <w:sz w:val="19"/>
              </w:rPr>
              <w:t>CareFlow Appointment Setting</w:t>
            </w:r>
          </w:p>
        </w:tc>
        <w:tc>
          <w:tcPr>
            <w:tcW w:type="dxa" w:w="2232"/>
            <w:vAlign w:val="center"/>
          </w:tcPr>
          <w:p>
            <w:r>
              <w:rPr>
                <w:sz w:val="19"/>
              </w:rPr>
              <w:t>$997</w:t>
            </w:r>
          </w:p>
        </w:tc>
        <w:tc>
          <w:tcPr>
            <w:tcW w:type="dxa" w:w="2232"/>
            <w:vAlign w:val="center"/>
          </w:tcPr>
          <w:p>
            <w:r>
              <w:rPr>
                <w:sz w:val="19"/>
              </w:rPr>
              <w:t>$297/mo</w:t>
            </w:r>
          </w:p>
        </w:tc>
      </w:tr>
      <w:tr>
        <w:tc>
          <w:tcPr>
            <w:tcW w:type="dxa" w:w="4248"/>
            <w:vAlign w:val="center"/>
          </w:tcPr>
          <w:p>
            <w:r>
              <w:rPr>
                <w:sz w:val="19"/>
              </w:rPr>
              <w:t>CareFlow Voice Add-On</w:t>
            </w:r>
          </w:p>
        </w:tc>
        <w:tc>
          <w:tcPr>
            <w:tcW w:type="dxa" w:w="2232"/>
            <w:vAlign w:val="center"/>
          </w:tcPr>
          <w:p>
            <w:r>
              <w:rPr>
                <w:sz w:val="19"/>
              </w:rPr>
              <w:t>$497</w:t>
            </w:r>
          </w:p>
        </w:tc>
        <w:tc>
          <w:tcPr>
            <w:tcW w:type="dxa" w:w="2232"/>
            <w:vAlign w:val="center"/>
          </w:tcPr>
          <w:p>
            <w:r>
              <w:rPr>
                <w:sz w:val="19"/>
              </w:rPr>
              <w:t>$197/mo</w:t>
            </w:r>
          </w:p>
        </w:tc>
      </w:tr>
      <w:tr>
        <w:tc>
          <w:tcPr>
            <w:tcW w:type="dxa" w:w="4248"/>
            <w:vAlign w:val="center"/>
          </w:tcPr>
          <w:p>
            <w:r>
              <w:rPr>
                <w:sz w:val="19"/>
              </w:rPr>
              <w:t>CareFlow Social Starter</w:t>
            </w:r>
          </w:p>
        </w:tc>
        <w:tc>
          <w:tcPr>
            <w:tcW w:type="dxa" w:w="2232"/>
            <w:vAlign w:val="center"/>
          </w:tcPr>
          <w:p>
            <w:r>
              <w:rPr>
                <w:sz w:val="19"/>
              </w:rPr>
              <w:t>$497</w:t>
            </w:r>
          </w:p>
        </w:tc>
        <w:tc>
          <w:tcPr>
            <w:tcW w:type="dxa" w:w="2232"/>
            <w:vAlign w:val="center"/>
          </w:tcPr>
          <w:p>
            <w:r>
              <w:rPr>
                <w:sz w:val="19"/>
              </w:rPr>
              <w:t>$297/mo</w:t>
            </w:r>
          </w:p>
        </w:tc>
      </w:tr>
      <w:tr>
        <w:tc>
          <w:tcPr>
            <w:tcW w:type="dxa" w:w="4248"/>
            <w:vAlign w:val="center"/>
          </w:tcPr>
          <w:p>
            <w:r>
              <w:rPr>
                <w:sz w:val="19"/>
              </w:rPr>
              <w:t>CareFlow Social Pro</w:t>
            </w:r>
          </w:p>
        </w:tc>
        <w:tc>
          <w:tcPr>
            <w:tcW w:type="dxa" w:w="2232"/>
            <w:vAlign w:val="center"/>
          </w:tcPr>
          <w:p>
            <w:r>
              <w:rPr>
                <w:sz w:val="19"/>
              </w:rPr>
              <w:t>$997</w:t>
            </w:r>
          </w:p>
        </w:tc>
        <w:tc>
          <w:tcPr>
            <w:tcW w:type="dxa" w:w="2232"/>
            <w:vAlign w:val="center"/>
          </w:tcPr>
          <w:p>
            <w:r>
              <w:rPr>
                <w:sz w:val="19"/>
              </w:rPr>
              <w:t>$497/mo</w:t>
            </w:r>
          </w:p>
        </w:tc>
      </w:tr>
      <w:tr>
        <w:tc>
          <w:tcPr>
            <w:tcW w:type="dxa" w:w="4248"/>
            <w:vAlign w:val="center"/>
          </w:tcPr>
          <w:p>
            <w:r>
              <w:rPr>
                <w:sz w:val="19"/>
              </w:rPr>
              <w:t>AI Phone Number Add-On</w:t>
            </w:r>
          </w:p>
        </w:tc>
        <w:tc>
          <w:tcPr>
            <w:tcW w:type="dxa" w:w="2232"/>
            <w:vAlign w:val="center"/>
          </w:tcPr>
          <w:p>
            <w:r>
              <w:rPr>
                <w:sz w:val="19"/>
              </w:rPr>
              <w:t>$97</w:t>
            </w:r>
          </w:p>
        </w:tc>
        <w:tc>
          <w:tcPr>
            <w:tcW w:type="dxa" w:w="2232"/>
            <w:vAlign w:val="center"/>
          </w:tcPr>
          <w:p>
            <w:r>
              <w:rPr>
                <w:sz w:val="19"/>
              </w:rPr>
              <w:t>$49/mo per number</w:t>
            </w:r>
          </w:p>
        </w:tc>
      </w:tr>
      <w:tr>
        <w:tc>
          <w:tcPr>
            <w:tcW w:type="dxa" w:w="4248"/>
            <w:vAlign w:val="center"/>
          </w:tcPr>
          <w:p>
            <w:r>
              <w:rPr>
                <w:sz w:val="19"/>
              </w:rPr>
              <w:t>AI Call Campaign Add-On</w:t>
            </w:r>
          </w:p>
        </w:tc>
        <w:tc>
          <w:tcPr>
            <w:tcW w:type="dxa" w:w="2232"/>
            <w:vAlign w:val="center"/>
          </w:tcPr>
          <w:p>
            <w:r>
              <w:rPr>
                <w:sz w:val="19"/>
              </w:rPr>
              <w:t>$297</w:t>
            </w:r>
          </w:p>
        </w:tc>
        <w:tc>
          <w:tcPr>
            <w:tcW w:type="dxa" w:w="2232"/>
            <w:vAlign w:val="center"/>
          </w:tcPr>
          <w:p>
            <w:r>
              <w:rPr>
                <w:sz w:val="19"/>
              </w:rPr>
              <w:t>$149/mo per campaign</w:t>
            </w:r>
          </w:p>
        </w:tc>
      </w:tr>
      <w:tr>
        <w:tc>
          <w:tcPr>
            <w:tcW w:type="dxa" w:w="4248"/>
            <w:vAlign w:val="center"/>
          </w:tcPr>
          <w:p>
            <w:r>
              <w:rPr>
                <w:sz w:val="19"/>
              </w:rPr>
              <w:t>Agency Voice Pack</w:t>
            </w:r>
          </w:p>
        </w:tc>
        <w:tc>
          <w:tcPr>
            <w:tcW w:type="dxa" w:w="2232"/>
            <w:vAlign w:val="center"/>
          </w:tcPr>
          <w:p>
            <w:r>
              <w:rPr>
                <w:sz w:val="19"/>
              </w:rPr>
              <w:t>$997</w:t>
            </w:r>
          </w:p>
        </w:tc>
        <w:tc>
          <w:tcPr>
            <w:tcW w:type="dxa" w:w="2232"/>
            <w:vAlign w:val="center"/>
          </w:tcPr>
          <w:p>
            <w:r>
              <w:rPr>
                <w:sz w:val="19"/>
              </w:rPr>
              <w:t>$497/mo</w:t>
            </w:r>
          </w:p>
        </w:tc>
      </w:tr>
      <w:tr>
        <w:tc>
          <w:tcPr>
            <w:tcW w:type="dxa" w:w="4248"/>
            <w:vAlign w:val="center"/>
          </w:tcPr>
          <w:p>
            <w:r>
              <w:rPr>
                <w:sz w:val="19"/>
              </w:rPr>
              <w:t>Extra Voice Number</w:t>
            </w:r>
          </w:p>
        </w:tc>
        <w:tc>
          <w:tcPr>
            <w:tcW w:type="dxa" w:w="2232"/>
            <w:vAlign w:val="center"/>
          </w:tcPr>
          <w:p>
            <w:r>
              <w:rPr>
                <w:sz w:val="19"/>
              </w:rPr>
              <w:t>$0 unless otherwise stated</w:t>
            </w:r>
          </w:p>
        </w:tc>
        <w:tc>
          <w:tcPr>
            <w:tcW w:type="dxa" w:w="2232"/>
            <w:vAlign w:val="center"/>
          </w:tcPr>
          <w:p>
            <w:r>
              <w:rPr>
                <w:sz w:val="19"/>
              </w:rPr>
              <w:t>$49/mo</w:t>
            </w:r>
          </w:p>
        </w:tc>
      </w:tr>
    </w:tbl>
    <w:p/>
    <w:p>
      <w:r>
        <w:rPr>
          <w:rFonts w:ascii="Calibri" w:hAnsi="Calibri" w:eastAsia="Calibri"/>
        </w:rPr>
        <w:t>Provider may update pricing for future renewals, new purchases, or add-ons. Existing active subscription pricing may continue unless changed by written notice, invoice update, checkout update, or plan modification.</w:t>
      </w:r>
    </w:p>
    <w:p>
      <w:pPr>
        <w:pStyle w:val="Heading1"/>
      </w:pPr>
      <w:r>
        <w:rPr>
          <w:rFonts w:ascii="Calibri" w:hAnsi="Calibri" w:eastAsia="Calibri"/>
        </w:rPr>
        <w:t>4. Billing Authorization</w:t>
      </w:r>
    </w:p>
    <w:p>
      <w:r>
        <w:rPr>
          <w:rFonts w:ascii="Calibri" w:hAnsi="Calibri" w:eastAsia="Calibri"/>
        </w:rPr>
        <w:t>Client authorizes Provider and its payment processor to charge the payment method on file for recurring subscriptions, setup fees, add-ons, usage-based charges, taxes, and approved invoices. Failed payments may result in retries, service suspension, removal of add-ons, or termination.</w:t>
      </w:r>
    </w:p>
    <w:p>
      <w:pPr>
        <w:pStyle w:val="Heading1"/>
      </w:pPr>
      <w:r>
        <w:rPr>
          <w:rFonts w:ascii="Calibri" w:hAnsi="Calibri" w:eastAsia="Calibri"/>
        </w:rPr>
        <w:t>5. Usage, Fair Use, and Phone Services</w:t>
      </w:r>
    </w:p>
    <w:p>
      <w:r>
        <w:rPr>
          <w:rFonts w:ascii="Calibri" w:hAnsi="Calibri" w:eastAsia="Calibri"/>
        </w:rPr>
        <w:t>Voice AI, call campaigns, dedicated phone numbers, call minutes, carrier fees, SMS, WhatsApp, messaging, and high-volume usage may be subject to separate usage charges, fair-use limits, carrier rules, platform rules, or availability restrictions.</w:t>
      </w:r>
    </w:p>
    <w:p>
      <w:r>
        <w:rPr>
          <w:rFonts w:ascii="Calibri" w:hAnsi="Calibri" w:eastAsia="Calibri"/>
        </w:rPr>
        <w:t>Provider may pause or limit campaigns that create unusually high volume, compliance risk, deliverability risk, carrier issues, abuse complaints, or platform instability.</w:t>
      </w:r>
    </w:p>
    <w:p>
      <w:pPr>
        <w:pStyle w:val="Heading1"/>
      </w:pPr>
      <w:r>
        <w:rPr>
          <w:rFonts w:ascii="Calibri" w:hAnsi="Calibri" w:eastAsia="Calibri"/>
        </w:rPr>
        <w:t>6. Client Responsibilities</w:t>
      </w:r>
    </w:p>
    <w:p>
      <w:r>
        <w:rPr>
          <w:rFonts w:ascii="Calibri" w:hAnsi="Calibri" w:eastAsia="Calibri"/>
        </w:rPr>
        <w:t>Client is responsible for:</w:t>
      </w:r>
    </w:p>
    <w:p>
      <w:pPr>
        <w:pStyle w:val="ListBullet"/>
      </w:pPr>
      <w:r>
        <w:rPr>
          <w:rFonts w:ascii="Calibri" w:hAnsi="Calibri" w:eastAsia="Calibri"/>
        </w:rPr>
        <w:t>Supplying accurate business, offer, calendar, CRM, and service information</w:t>
      </w:r>
    </w:p>
    <w:p>
      <w:pPr>
        <w:pStyle w:val="ListBullet"/>
      </w:pPr>
      <w:r>
        <w:rPr>
          <w:rFonts w:ascii="Calibri" w:hAnsi="Calibri" w:eastAsia="Calibri"/>
        </w:rPr>
        <w:t>Completing the post-purchase onboarding intake form and providing all setup details requested by Provider</w:t>
      </w:r>
    </w:p>
    <w:p>
      <w:pPr>
        <w:pStyle w:val="ListBullet"/>
      </w:pPr>
      <w:r>
        <w:rPr>
          <w:rFonts w:ascii="Calibri" w:hAnsi="Calibri" w:eastAsia="Calibri"/>
        </w:rPr>
        <w:t>Reviewing the training portal, training manuals, dashboards, SOP checklists, and launch instructions provided by Provider</w:t>
      </w:r>
    </w:p>
    <w:p>
      <w:pPr>
        <w:pStyle w:val="ListBullet"/>
      </w:pPr>
      <w:r>
        <w:rPr>
          <w:rFonts w:ascii="Calibri" w:hAnsi="Calibri" w:eastAsia="Calibri"/>
        </w:rPr>
        <w:t>Reviewing and approving AI scripts, qualification questions, follow-up language, campaign rules, and escalation rules</w:t>
      </w:r>
    </w:p>
    <w:p>
      <w:pPr>
        <w:pStyle w:val="ListBullet"/>
      </w:pPr>
      <w:r>
        <w:rPr>
          <w:rFonts w:ascii="Calibri" w:hAnsi="Calibri" w:eastAsia="Calibri"/>
        </w:rPr>
        <w:t>Ensuring all leads, contacts, phone numbers, and messaging audiences are lawfully obtained and may be contacted</w:t>
      </w:r>
    </w:p>
    <w:p>
      <w:pPr>
        <w:pStyle w:val="ListBullet"/>
      </w:pPr>
      <w:r>
        <w:rPr>
          <w:rFonts w:ascii="Calibri" w:hAnsi="Calibri" w:eastAsia="Calibri"/>
        </w:rPr>
        <w:t>Maintaining permissions, passwords, CRM access, calendar access, and third-party account access</w:t>
      </w:r>
    </w:p>
    <w:p>
      <w:pPr>
        <w:pStyle w:val="ListBullet"/>
      </w:pPr>
      <w:r>
        <w:rPr>
          <w:rFonts w:ascii="Calibri" w:hAnsi="Calibri" w:eastAsia="Calibri"/>
        </w:rPr>
        <w:t>Monitoring staff handoff, booked appointments, customer service, and sales follow-through</w:t>
      </w:r>
    </w:p>
    <w:p>
      <w:pPr>
        <w:pStyle w:val="ListBullet"/>
      </w:pPr>
      <w:r>
        <w:rPr>
          <w:rFonts w:ascii="Calibri" w:hAnsi="Calibri" w:eastAsia="Calibri"/>
        </w:rPr>
        <w:t>Complying with all laws, industry rules, advertising rules, platform policies, and privacy obligations that apply to Client's business</w:t>
      </w:r>
    </w:p>
    <w:p>
      <w:pPr>
        <w:pStyle w:val="Heading1"/>
      </w:pPr>
      <w:r>
        <w:rPr>
          <w:rFonts w:ascii="Calibri" w:hAnsi="Calibri" w:eastAsia="Calibri"/>
        </w:rPr>
        <w:t>7. Communications Compliance</w:t>
      </w:r>
    </w:p>
    <w:p>
      <w:r>
        <w:rPr>
          <w:rFonts w:ascii="Calibri" w:hAnsi="Calibri" w:eastAsia="Calibri"/>
        </w:rPr>
        <w:t>Client is responsible for obtaining and maintaining any required consent for calls, SMS, WhatsApp, email, social messaging, voice campaigns, reminders, reactivation campaigns, and automated communications.</w:t>
      </w:r>
    </w:p>
    <w:p>
      <w:r>
        <w:rPr>
          <w:rFonts w:ascii="Calibri" w:hAnsi="Calibri" w:eastAsia="Calibri"/>
        </w:rPr>
        <w:t>Client agrees not to use Provider's services for spam, unlawful telemarketing, deceptive offers, harassment, sensitive data misuse, prohibited content, or communications that violate applicable laws or platform rules, including rules related to TCPA, CAN-SPAM, state privacy laws, carrier rules, and messaging platform policies.</w:t>
      </w:r>
    </w:p>
    <w:p>
      <w:pPr>
        <w:pStyle w:val="Heading1"/>
      </w:pPr>
      <w:r>
        <w:rPr>
          <w:rFonts w:ascii="Calibri" w:hAnsi="Calibri" w:eastAsia="Calibri"/>
        </w:rPr>
        <w:t>8. Health, Wellness, and Sensitive Data</w:t>
      </w:r>
    </w:p>
    <w:p>
      <w:r>
        <w:rPr>
          <w:rFonts w:ascii="Calibri" w:hAnsi="Calibri" w:eastAsia="Calibri"/>
        </w:rPr>
        <w:t>CareFlow Setter and related workflows are designed for appointment-setting and lead qualification, not medical diagnosis, emergency response, treatment advice, legal advice, financial advice, or regulated professional advice.</w:t>
      </w:r>
    </w:p>
    <w:p>
      <w:r>
        <w:rPr>
          <w:rFonts w:ascii="Calibri" w:hAnsi="Calibri" w:eastAsia="Calibri"/>
        </w:rPr>
        <w:t>Client must not use public-facing AI workflows to collect sensitive medical, health, financial, legal, or regulated information unless Client has reviewed all legal, compliance, vendor, consent, security, and contractual requirements. If Client requires HIPAA-regulated handling or a business associate agreement, that must be agreed in writing before launch.</w:t>
      </w:r>
    </w:p>
    <w:p>
      <w:pPr>
        <w:pStyle w:val="Heading1"/>
      </w:pPr>
      <w:r>
        <w:rPr>
          <w:rFonts w:ascii="Calibri" w:hAnsi="Calibri" w:eastAsia="Calibri"/>
        </w:rPr>
        <w:t>9. Third-Party Platforms</w:t>
      </w:r>
    </w:p>
    <w:p>
      <w:r>
        <w:rPr>
          <w:rFonts w:ascii="Calibri" w:hAnsi="Calibri" w:eastAsia="Calibri"/>
        </w:rPr>
        <w:t>Provider's services may rely on third-party platforms for hosting, payment processing, CRM functions, voice AI, messaging, analytics, email, domains, calendars, phone numbers, and automation. Provider is not responsible for outages, policy changes, price changes, deliverability restrictions, account suspensions, or failures caused by third-party platforms.</w:t>
      </w:r>
    </w:p>
    <w:p>
      <w:pPr>
        <w:pStyle w:val="Heading1"/>
      </w:pPr>
      <w:r>
        <w:rPr>
          <w:rFonts w:ascii="Calibri" w:hAnsi="Calibri" w:eastAsia="Calibri"/>
        </w:rPr>
        <w:t>10. Onboarding and Launch</w:t>
      </w:r>
    </w:p>
    <w:p>
      <w:r>
        <w:rPr>
          <w:rFonts w:ascii="Calibri" w:hAnsi="Calibri" w:eastAsia="Calibri"/>
        </w:rPr>
        <w:t>Provider will make commercially reasonable efforts to configure the purchased services after required onboarding information, access, payment, and approvals are received. After purchase, Client may be directed to complete an onboarding intake form and review the training portal. Client understands that dashboard setup, AI agent configuration, CRM routing, phone setup, Social Growth delivery, and launch work may be delayed until Provider receives complete and accurate onboarding information.</w:t>
      </w:r>
    </w:p>
    <w:p>
      <w:r>
        <w:rPr>
          <w:rFonts w:ascii="Calibri" w:hAnsi="Calibri" w:eastAsia="Calibri"/>
        </w:rPr>
        <w:t>Training manuals, dashboards, SOP checklists, templates, scripts, and onboarding resources may be provided for Client review during or after onboarding. Client is responsible for training its owners, staff, contractors, clients, or team members who will operate or rely on the services.</w:t>
      </w:r>
    </w:p>
    <w:p>
      <w:r>
        <w:rPr>
          <w:rFonts w:ascii="Calibri" w:hAnsi="Calibri" w:eastAsia="Calibri"/>
        </w:rPr>
        <w:t>Launch timelines depend on Client responsiveness, third-party account access, CRM readiness, phone number availability, compliance review, training completion, and scope complexity.</w:t>
      </w:r>
    </w:p>
    <w:p>
      <w:pPr>
        <w:pStyle w:val="Heading1"/>
      </w:pPr>
      <w:r>
        <w:rPr>
          <w:rFonts w:ascii="Calibri" w:hAnsi="Calibri" w:eastAsia="Calibri"/>
        </w:rPr>
        <w:t>11. No Guaranteed Results</w:t>
      </w:r>
    </w:p>
    <w:p>
      <w:r>
        <w:rPr>
          <w:rFonts w:ascii="Calibri" w:hAnsi="Calibri" w:eastAsia="Calibri"/>
        </w:rPr>
        <w:t>Provider does not guarantee a specific number of leads, appointments, sales, show rates, close rates, revenue, ROI, or business outcomes. Results depend on Client's offer, market, traffic quality, sales process, staff follow-up, pricing, reputation, CRM setup, and other factors outside Provider's control.</w:t>
      </w:r>
    </w:p>
    <w:p>
      <w:pPr>
        <w:pStyle w:val="Heading1"/>
      </w:pPr>
      <w:r>
        <w:rPr>
          <w:rFonts w:ascii="Calibri" w:hAnsi="Calibri" w:eastAsia="Calibri"/>
        </w:rPr>
        <w:t>12. Intellectual Property</w:t>
      </w:r>
    </w:p>
    <w:p>
      <w:r>
        <w:rPr>
          <w:rFonts w:ascii="Calibri" w:hAnsi="Calibri" w:eastAsia="Calibri"/>
        </w:rPr>
        <w:t>Provider retains ownership of SETTEROS, CareFlow Setter, templates, frameworks, workflows, software, dashboards, designs, documentation, scripts, prompts, and platform materials. Client receives a limited, non-exclusive, non-transferable right to use the services during the active subscription term.</w:t>
      </w:r>
    </w:p>
    <w:p>
      <w:r>
        <w:rPr>
          <w:rFonts w:ascii="Calibri" w:hAnsi="Calibri" w:eastAsia="Calibri"/>
        </w:rPr>
        <w:t>Training manuals, dashboards, SOP checklists, scripts, templates, sales materials, onboarding resources, and portal materials are licensed to Client for internal business use only unless Provider gives written resale, redistribution, or white-label permission. Client may not copy, sell, publish, sublicense, or distribute Provider's training materials outside Client's organization or approved users.</w:t>
      </w:r>
    </w:p>
    <w:p>
      <w:r>
        <w:rPr>
          <w:rFonts w:ascii="Calibri" w:hAnsi="Calibri" w:eastAsia="Calibri"/>
        </w:rPr>
        <w:t>Client retains ownership of Client's business information, brand assets, customer data, offers, and approved Client-specific content.</w:t>
      </w:r>
    </w:p>
    <w:p>
      <w:pPr>
        <w:pStyle w:val="Heading1"/>
      </w:pPr>
      <w:r>
        <w:rPr>
          <w:rFonts w:ascii="Calibri" w:hAnsi="Calibri" w:eastAsia="Calibri"/>
        </w:rPr>
        <w:t>13. Confidentiality</w:t>
      </w:r>
    </w:p>
    <w:p>
      <w:r>
        <w:rPr>
          <w:rFonts w:ascii="Calibri" w:hAnsi="Calibri" w:eastAsia="Calibri"/>
        </w:rPr>
        <w:t>Each party may receive confidential business, technical, customer, pricing, workflow, or operational information from the other party. Each party agrees to use reasonable care to protect confidential information and use it only for performance under this Agreement.</w:t>
      </w:r>
    </w:p>
    <w:p>
      <w:pPr>
        <w:pStyle w:val="Heading1"/>
      </w:pPr>
      <w:r>
        <w:rPr>
          <w:rFonts w:ascii="Calibri" w:hAnsi="Calibri" w:eastAsia="Calibri"/>
        </w:rPr>
        <w:t>14. Data Protection and Privacy</w:t>
      </w:r>
    </w:p>
    <w:p>
      <w:r>
        <w:rPr>
          <w:rFonts w:ascii="Calibri" w:hAnsi="Calibri" w:eastAsia="Calibri"/>
        </w:rPr>
        <w:t>Provider will use commercially reasonable safeguards to protect account and workflow data. Client is responsible for ensuring that Client's use of the services, submitted data, and customer communications comply with applicable privacy and data protection laws.</w:t>
      </w:r>
    </w:p>
    <w:p>
      <w:r>
        <w:rPr>
          <w:rFonts w:ascii="Calibri" w:hAnsi="Calibri" w:eastAsia="Calibri"/>
        </w:rPr>
        <w:t>Provider's website Privacy Policy, Data Protection Policy, Cookie Policy, Website Terms of Use, and Terms &amp; Conditions are incorporated by reference where applicable.</w:t>
      </w:r>
    </w:p>
    <w:p>
      <w:pPr>
        <w:pStyle w:val="Heading1"/>
      </w:pPr>
      <w:r>
        <w:rPr>
          <w:rFonts w:ascii="Calibri" w:hAnsi="Calibri" w:eastAsia="Calibri"/>
        </w:rPr>
        <w:t>15. Term, Renewal, and Cancellation</w:t>
      </w:r>
    </w:p>
    <w:p>
      <w:r>
        <w:rPr>
          <w:rFonts w:ascii="Calibri" w:hAnsi="Calibri" w:eastAsia="Calibri"/>
        </w:rPr>
        <w:t>Unless otherwise stated, subscriptions renew monthly or annually based on the selected billing period. Client may request cancellation by written notice to Provider. Cancellation stops future renewals but does not automatically refund prior charges, setup fees, usage fees, or already-incurred third-party costs.</w:t>
      </w:r>
    </w:p>
    <w:p>
      <w:r>
        <w:rPr>
          <w:rFonts w:ascii="Calibri" w:hAnsi="Calibri" w:eastAsia="Calibri"/>
        </w:rPr>
        <w:t>Provider may suspend or terminate services for nonpayment, abuse, legal risk, platform risk, misuse, violation of this Agreement, or conduct that may harm Provider, third-party platforms, carriers, or other users.</w:t>
      </w:r>
    </w:p>
    <w:p>
      <w:pPr>
        <w:pStyle w:val="Heading1"/>
      </w:pPr>
      <w:r>
        <w:rPr>
          <w:rFonts w:ascii="Calibri" w:hAnsi="Calibri" w:eastAsia="Calibri"/>
        </w:rPr>
        <w:t>16. Refunds</w:t>
      </w:r>
    </w:p>
    <w:p>
      <w:r>
        <w:rPr>
          <w:rFonts w:ascii="Calibri" w:hAnsi="Calibri" w:eastAsia="Calibri"/>
        </w:rPr>
        <w:t>Setup fees, onboarding fees, custom work, delivered training materials, used add-ons, phone number costs, call usage, messaging usage, and third-party costs are generally non-refundable unless Provider agrees otherwise in writing. Failure to complete the onboarding intake, provide access, review training materials, or respond to setup requests does not automatically create a refund right. Subscription refunds, if any, are handled at Provider's discretion or as required by law.</w:t>
      </w:r>
    </w:p>
    <w:p>
      <w:pPr>
        <w:pStyle w:val="Heading1"/>
      </w:pPr>
      <w:r>
        <w:rPr>
          <w:rFonts w:ascii="Calibri" w:hAnsi="Calibri" w:eastAsia="Calibri"/>
        </w:rPr>
        <w:t>17. Limitation of Liability</w:t>
      </w:r>
    </w:p>
    <w:p>
      <w:r>
        <w:rPr>
          <w:rFonts w:ascii="Calibri" w:hAnsi="Calibri" w:eastAsia="Calibri"/>
        </w:rPr>
        <w:t>To the maximum extent permitted by law, Provider will not be liable for indirect, incidental, special, consequential, punitive, lost-profit, lost-revenue, lost-data, lost-opportunity, or business interruption damages.</w:t>
      </w:r>
    </w:p>
    <w:p>
      <w:r>
        <w:rPr>
          <w:rFonts w:ascii="Calibri" w:hAnsi="Calibri" w:eastAsia="Calibri"/>
        </w:rPr>
        <w:t>Provider's total liability arising from this Agreement will not exceed the amount Client paid to Provider for the specific service giving rise to the claim during the three months before the event giving rise to liability.</w:t>
      </w:r>
    </w:p>
    <w:p>
      <w:pPr>
        <w:pStyle w:val="Heading1"/>
      </w:pPr>
      <w:r>
        <w:rPr>
          <w:rFonts w:ascii="Calibri" w:hAnsi="Calibri" w:eastAsia="Calibri"/>
        </w:rPr>
        <w:t>18. Indemnification</w:t>
      </w:r>
    </w:p>
    <w:p>
      <w:r>
        <w:rPr>
          <w:rFonts w:ascii="Calibri" w:hAnsi="Calibri" w:eastAsia="Calibri"/>
        </w:rPr>
        <w:t>Client agrees to defend, indemnify, and hold harmless Provider from claims, damages, penalties, costs, and expenses arising from Client's offers, customer communications, consent practices, data, compliance obligations, misuse of services, violation of law, or breach of this Agreement.</w:t>
      </w:r>
    </w:p>
    <w:p>
      <w:pPr>
        <w:pStyle w:val="Heading1"/>
      </w:pPr>
      <w:r>
        <w:rPr>
          <w:rFonts w:ascii="Calibri" w:hAnsi="Calibri" w:eastAsia="Calibri"/>
        </w:rPr>
        <w:t>19. Governing Law</w:t>
      </w:r>
    </w:p>
    <w:p>
      <w:r>
        <w:rPr>
          <w:rFonts w:ascii="Calibri" w:hAnsi="Calibri" w:eastAsia="Calibri"/>
        </w:rPr>
        <w:t>This Agreement is governed by the laws of the State of Georgia, without regard to conflict-of-law rules. Venue for disputes will be in the state or federal courts located in Georgia unless the parties agree otherwise in writing.</w:t>
      </w:r>
    </w:p>
    <w:p>
      <w:pPr>
        <w:pStyle w:val="Heading1"/>
      </w:pPr>
      <w:r>
        <w:rPr>
          <w:rFonts w:ascii="Calibri" w:hAnsi="Calibri" w:eastAsia="Calibri"/>
        </w:rPr>
        <w:t>20. Entire Agreement</w:t>
      </w:r>
    </w:p>
    <w:p>
      <w:r>
        <w:rPr>
          <w:rFonts w:ascii="Calibri" w:hAnsi="Calibri" w:eastAsia="Calibri"/>
        </w:rPr>
        <w:t>This Agreement, together with any checkout, invoice, order form, statement of work, written scope, and incorporated policies, forms the entire agreement between the parties regarding the services.</w:t>
      </w:r>
    </w:p>
    <w:p>
      <w:r>
        <w:br w:type="page"/>
      </w:r>
    </w:p>
    <w:p>
      <w:pPr>
        <w:pStyle w:val="Heading1"/>
      </w:pPr>
      <w:r>
        <w:rPr>
          <w:rFonts w:ascii="Calibri" w:hAnsi="Calibri" w:eastAsia="Calibri"/>
        </w:rPr>
        <w:t>21. Signatures</w:t>
      </w:r>
    </w:p>
    <w:p>
      <w:r>
        <w:rPr>
          <w:rFonts w:ascii="Calibri" w:hAnsi="Calibri" w:eastAsia="Calibri"/>
        </w:rPr>
        <w:t>By signing below, the parties agree to this Agreement.</w:t>
      </w:r>
    </w:p>
    <w:p>
      <w:r>
        <w:rPr>
          <w:rFonts w:ascii="Calibri" w:hAnsi="Calibri" w:eastAsia="Calibri"/>
          <w:b/>
        </w:rPr>
        <w:t>Provider:</w:t>
      </w:r>
      <w:r>
        <w:rPr>
          <w:rFonts w:ascii="Calibri" w:hAnsi="Calibri" w:eastAsia="Calibri"/>
        </w:rPr>
        <w:t xml:space="preserve"> FORMSHQ INC, operating SETTEROS</w:t>
      </w:r>
    </w:p>
    <w:p>
      <w:pPr>
        <w:spacing w:after="200"/>
      </w:pPr>
      <w:r>
        <w:rPr>
          <w:rFonts w:ascii="Calibri" w:hAnsi="Calibri" w:eastAsia="Calibri"/>
        </w:rPr>
        <w:t>Signature: ________________________________</w:t>
      </w:r>
    </w:p>
    <w:p>
      <w:r>
        <w:rPr>
          <w:rFonts w:ascii="Calibri" w:hAnsi="Calibri" w:eastAsia="Calibri"/>
        </w:rPr>
        <w:t>Name: ________________________________</w:t>
      </w:r>
    </w:p>
    <w:p>
      <w:pPr>
        <w:spacing w:after="200"/>
      </w:pPr>
      <w:r>
        <w:rPr>
          <w:rFonts w:ascii="Calibri" w:hAnsi="Calibri" w:eastAsia="Calibri"/>
        </w:rPr>
        <w:t>Title: ________________________________</w:t>
      </w:r>
    </w:p>
    <w:p>
      <w:pPr>
        <w:spacing w:after="200"/>
      </w:pPr>
      <w:r>
        <w:rPr>
          <w:rFonts w:ascii="Calibri" w:hAnsi="Calibri" w:eastAsia="Calibri"/>
        </w:rPr>
        <w:t>Date: ________________________________</w:t>
      </w:r>
    </w:p>
    <w:p>
      <w:r>
        <w:rPr>
          <w:rFonts w:ascii="Calibri" w:hAnsi="Calibri" w:eastAsia="Calibri"/>
          <w:b/>
        </w:rPr>
        <w:t>Client:</w:t>
      </w:r>
    </w:p>
    <w:p>
      <w:pPr>
        <w:spacing w:after="200"/>
      </w:pPr>
      <w:r>
        <w:rPr>
          <w:rFonts w:ascii="Calibri" w:hAnsi="Calibri" w:eastAsia="Calibri"/>
        </w:rPr>
        <w:t>Signature: ________________________________</w:t>
      </w:r>
    </w:p>
    <w:p>
      <w:r>
        <w:rPr>
          <w:rFonts w:ascii="Calibri" w:hAnsi="Calibri" w:eastAsia="Calibri"/>
        </w:rPr>
        <w:t>Name: ________________________________</w:t>
      </w:r>
    </w:p>
    <w:p>
      <w:pPr>
        <w:spacing w:after="200"/>
      </w:pPr>
      <w:r>
        <w:rPr>
          <w:rFonts w:ascii="Calibri" w:hAnsi="Calibri" w:eastAsia="Calibri"/>
        </w:rPr>
        <w:t>Title: ________________________________</w:t>
      </w:r>
    </w:p>
    <w:p>
      <w:pPr>
        <w:spacing w:after="200"/>
      </w:pPr>
      <w:r>
        <w:rPr>
          <w:rFonts w:ascii="Calibri" w:hAnsi="Calibri" w:eastAsia="Calibri"/>
        </w:rPr>
        <w:t>Company: ________________________________</w:t>
      </w:r>
    </w:p>
    <w:p>
      <w:pPr>
        <w:spacing w:after="200"/>
      </w:pPr>
      <w:r>
        <w:rPr>
          <w:rFonts w:ascii="Calibri" w:hAnsi="Calibri" w:eastAsia="Calibri"/>
        </w:rPr>
        <w:t>Date: ________________________________</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FORMSHQ INC · SETTEROS · Confidential business template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8"/>
      </w:rPr>
      <w:t>SETTEROS Client Services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color w:val="18151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006027"/>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006027"/>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30303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eastAsia="Calibri"/>
      <w:b/>
      <w:color w:val="006027"/>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